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RTL"/>
        <w:spacing w:before="0" w:after="120" w:line="300" w:lineRule="auto"/>
        <w:jc w:val="right"/>
        <w:bidi w:val="1"/>
      </w:pPr>
      <w:r>
        <w:rPr>
          <w:rFonts w:ascii="Arial" w:hAnsi="Arial" w:cs="Arial" w:eastAsia="Arial"/>
          <w:b/>
          <w:color w:val="2E74B5"/>
          <w:sz w:val="32"/>
          <w:rtl w:val="1"/>
        </w:rPr>
        <w:t>محضر اجتماع مشروع نبراس للتعلّم الرقمي</w:t>
      </w:r>
    </w:p>
    <w:p>
      <w:pPr>
        <w:spacing w:before="0" w:after="120" w:line="300" w:lineRule="auto"/>
        <w:jc w:val="right"/>
        <w:bidi w:val="1"/>
      </w:pPr>
      <w:r>
        <w:rPr>
          <w:rFonts w:ascii="Arial" w:hAnsi="Arial" w:cs="Arial" w:eastAsia="Arial"/>
          <w:b/>
          <w:color w:val="20344A"/>
          <w:rtl w:val="1"/>
        </w:rPr>
        <w:t>الإصدار 1.0 — اجتماع 10 سبتمبر 2026</w:t>
      </w:r>
    </w:p>
    <w:p>
      <w:pPr>
        <w:spacing w:before="0" w:after="240" w:line="300" w:lineRule="auto"/>
        <w:jc w:val="right"/>
        <w:bidi w:val="1"/>
      </w:pPr>
      <w:r>
        <w:rPr>
          <w:rFonts w:ascii="Arial" w:hAnsi="Arial" w:cs="Arial" w:eastAsia="Arial"/>
          <w:b/>
          <w:color w:val="7A5A00"/>
          <w:rtl w:val="1"/>
        </w:rPr>
        <w:t>بيانات صناعية للاختبار فقط؛ لا تمثل شركة أو حملة حقيقية.</w:t>
      </w:r>
    </w:p>
    <w:p>
      <w:pPr>
        <w:pStyle w:val="HeadingRTL"/>
        <w:spacing w:before="0" w:after="120" w:line="300" w:lineRule="auto"/>
        <w:jc w:val="right"/>
        <w:bidi w:val="1"/>
      </w:pPr>
      <w:r>
        <w:rPr>
          <w:rFonts w:ascii="Arial" w:hAnsi="Arial" w:cs="Arial" w:eastAsia="Arial"/>
          <w:b/>
          <w:color w:val="2E74B5"/>
          <w:sz w:val="26"/>
          <w:rtl w:val="1"/>
        </w:rPr>
        <w:t>الغرض</w:t>
      </w:r>
    </w:p>
    <w:p>
      <w:pPr>
        <w:spacing w:before="0" w:after="120" w:line="300" w:lineRule="auto"/>
        <w:jc w:val="right"/>
        <w:bidi w:val="1"/>
      </w:pPr>
      <w:r>
        <w:rPr>
          <w:rFonts w:ascii="Arial" w:hAnsi="Arial" w:cs="Arial" w:eastAsia="Arial"/>
          <w:b w:val="0"/>
          <w:rtl w:val="1"/>
        </w:rPr>
        <w:t>توثيق القرارات النهائية التي تسبق إطلاق حملة مشروع «نبراس للتعلّم الرقمي». عند التعارض، يتقدم هذا المحضر المعتمد على الموجز الصادر في 5 سبتمبر 2026.</w:t>
      </w:r>
    </w:p>
    <w:p>
      <w:pPr>
        <w:pStyle w:val="HeadingRTL"/>
        <w:spacing w:before="0" w:after="120" w:line="300" w:lineRule="auto"/>
        <w:jc w:val="right"/>
        <w:bidi w:val="1"/>
      </w:pPr>
      <w:r>
        <w:rPr>
          <w:rFonts w:ascii="Arial" w:hAnsi="Arial" w:cs="Arial" w:eastAsia="Arial"/>
          <w:b/>
          <w:color w:val="2E74B5"/>
          <w:sz w:val="26"/>
          <w:rtl w:val="1"/>
        </w:rPr>
        <w:t>القرارات المعتمدة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b/>
                <w:color w:val="20344A"/>
                <w:sz w:val="19"/>
                <w:rtl w:val="1"/>
              </w:rPr>
              <w:t>القرار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b/>
                <w:color w:val="20344A"/>
                <w:sz w:val="19"/>
                <w:rtl w:val="1"/>
              </w:rPr>
              <w:t>النص المعتمد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D‑01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تأجيل تاريخ البداية النهائي إلى 18 سبتمبر 2026؛ يبقى تاريخ النهاية 31 أكتوبر 2026.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D‑02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نقل 2,000 دولار من Social مصر إلى Search السعودية؛ لا يتغير إجمالي الميزانية.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D‑03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لا يتغير تعريف التسجيل المؤهل: بريد متحقق منه مع إكمال خطوات التهيئة الأولى.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D‑04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تسجيلات الشركاء بين 25 و31 أكتوبر تبقى «قيد التحقق» حتى 7 نوفمبر، ولا تدخل في إجمالي التسجيلات المؤهلة قبل التحقق.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D‑05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لا تُطلق النسخة B قبل اجتياز فحص الوصول.</w:t>
            </w:r>
          </w:p>
        </w:tc>
      </w:tr>
    </w:tbl>
    <w:p>
      <w:pPr>
        <w:pStyle w:val="HeadingRTL"/>
        <w:spacing w:before="0" w:after="120" w:line="300" w:lineRule="auto"/>
        <w:jc w:val="right"/>
        <w:bidi w:val="1"/>
      </w:pPr>
      <w:r>
        <w:rPr>
          <w:rFonts w:ascii="Arial" w:hAnsi="Arial" w:cs="Arial" w:eastAsia="Arial"/>
          <w:b/>
          <w:color w:val="2E74B5"/>
          <w:sz w:val="26"/>
          <w:rtl w:val="1"/>
        </w:rPr>
        <w:t>الإجراء الملغى</w:t>
      </w:r>
    </w:p>
    <w:p>
      <w:pPr>
        <w:spacing w:before="0" w:after="120" w:line="300" w:lineRule="auto"/>
        <w:jc w:val="right"/>
        <w:bidi w:val="1"/>
      </w:pPr>
      <w:r>
        <w:rPr>
          <w:rFonts w:ascii="Arial" w:hAnsi="Arial" w:cs="Arial" w:eastAsia="Arial"/>
          <w:b w:val="0"/>
          <w:rtl w:val="1"/>
        </w:rPr>
      </w:r>
      <w:r>
        <w:rPr>
          <w:rFonts w:ascii="Arial" w:hAnsi="Arial" w:cs="Arial" w:eastAsia="Arial"/>
          <w:strike/>
          <w:color w:val="AA2D2D"/>
          <w:rtl w:val="1"/>
        </w:rPr>
        <w:t>إطلاق جميع الإعلانات في 15 سبتمبر 2026</w:t>
      </w:r>
      <w:r>
        <w:rPr>
          <w:rFonts w:ascii="Arial" w:hAnsi="Arial" w:cs="Arial" w:eastAsia="Arial"/>
          <w:b/>
          <w:color w:val="AA2D2D"/>
          <w:rtl w:val="1"/>
        </w:rPr>
        <w:t xml:space="preserve"> — ملغى بموجب D‑01.</w:t>
      </w:r>
    </w:p>
    <w:p>
      <w:pPr>
        <w:pStyle w:val="HeadingRTL"/>
        <w:spacing w:before="0" w:after="120" w:line="300" w:lineRule="auto"/>
        <w:jc w:val="right"/>
        <w:bidi w:val="1"/>
      </w:pPr>
      <w:r>
        <w:rPr>
          <w:rFonts w:ascii="Arial" w:hAnsi="Arial" w:cs="Arial" w:eastAsia="Arial"/>
          <w:b/>
          <w:color w:val="2E74B5"/>
          <w:sz w:val="26"/>
          <w:rtl w:val="1"/>
        </w:rPr>
        <w:t>سجل الإجراءات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31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b/>
                <w:color w:val="20344A"/>
                <w:sz w:val="19"/>
                <w:rtl w:val="1"/>
              </w:rPr>
              <w:t>الإجراء</w:t>
            </w:r>
          </w:p>
        </w:tc>
        <w:tc>
          <w:tcPr>
            <w:tcW w:type="dxa" w:w="22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b/>
                <w:color w:val="20344A"/>
                <w:sz w:val="19"/>
                <w:rtl w:val="1"/>
              </w:rPr>
              <w:t>المالك</w:t>
            </w:r>
          </w:p>
        </w:tc>
        <w:tc>
          <w:tcPr>
            <w:tcW w:type="dxa" w:w="16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b/>
                <w:color w:val="20344A"/>
                <w:sz w:val="19"/>
                <w:rtl w:val="1"/>
              </w:rPr>
              <w:t>الموعد</w:t>
            </w:r>
          </w:p>
        </w:tc>
        <w:tc>
          <w:tcPr>
            <w:tcW w:type="dxa" w:w="201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b/>
                <w:color w:val="20344A"/>
                <w:sz w:val="19"/>
                <w:rtl w:val="1"/>
              </w:rPr>
              <w:t>الحالة</w:t>
            </w:r>
          </w:p>
        </w:tc>
      </w:tr>
      <w:tr>
        <w:tc>
          <w:tcPr>
            <w:tcW w:type="dxa" w:w="31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فحص وصول النسخة B</w:t>
            </w:r>
          </w:p>
        </w:tc>
        <w:tc>
          <w:tcPr>
            <w:tcW w:type="dxa" w:w="22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مسؤول تجربة المستخدم</w:t>
            </w:r>
          </w:p>
        </w:tc>
        <w:tc>
          <w:tcPr>
            <w:tcW w:type="dxa" w:w="16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16 سبتمبر</w:t>
            </w:r>
          </w:p>
        </w:tc>
        <w:tc>
          <w:tcPr>
            <w:tcW w:type="dxa" w:w="201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مكتمل 16 سبتمبر</w:t>
            </w:r>
          </w:p>
        </w:tc>
      </w:tr>
      <w:tr>
        <w:tc>
          <w:tcPr>
            <w:tcW w:type="dxa" w:w="31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فحص UTM</w:t>
            </w:r>
          </w:p>
        </w:tc>
        <w:tc>
          <w:tcPr>
            <w:tcW w:type="dxa" w:w="22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مسؤول القياس</w:t>
            </w:r>
          </w:p>
        </w:tc>
        <w:tc>
          <w:tcPr>
            <w:tcW w:type="dxa" w:w="16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17 سبتمبر</w:t>
            </w:r>
          </w:p>
        </w:tc>
        <w:tc>
          <w:tcPr>
            <w:tcW w:type="dxa" w:w="201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مكتمل 17 سبتمبر</w:t>
            </w:r>
          </w:p>
        </w:tc>
      </w:tr>
      <w:tr>
        <w:tc>
          <w:tcPr>
            <w:tcW w:type="dxa" w:w="31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تنفيذ D‑02</w:t>
            </w:r>
          </w:p>
        </w:tc>
        <w:tc>
          <w:tcPr>
            <w:tcW w:type="dxa" w:w="22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مدير القنوات</w:t>
            </w:r>
          </w:p>
        </w:tc>
        <w:tc>
          <w:tcPr>
            <w:tcW w:type="dxa" w:w="16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12 سبتمبر</w:t>
            </w:r>
          </w:p>
        </w:tc>
        <w:tc>
          <w:tcPr>
            <w:tcW w:type="dxa" w:w="201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مكتمل 12 سبتمبر</w:t>
            </w:r>
          </w:p>
        </w:tc>
      </w:tr>
      <w:tr>
        <w:tc>
          <w:tcPr>
            <w:tcW w:type="dxa" w:w="31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تسوية تسجيلات الشركاء</w:t>
            </w:r>
          </w:p>
        </w:tc>
        <w:tc>
          <w:tcPr>
            <w:tcW w:type="dxa" w:w="22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مسؤول الشراكات</w:t>
            </w:r>
          </w:p>
        </w:tc>
        <w:tc>
          <w:tcPr>
            <w:tcW w:type="dxa" w:w="16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7 نوفمبر</w:t>
            </w:r>
          </w:p>
        </w:tc>
        <w:tc>
          <w:tcPr>
            <w:tcW w:type="dxa" w:w="201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right"/>
              <w:bidi w:val="1"/>
            </w:pPr>
            <w:r/>
            <w:r>
              <w:rPr>
                <w:rFonts w:ascii="Arial" w:hAnsi="Arial" w:cs="Arial" w:eastAsia="Arial"/>
                <w:sz w:val="19"/>
                <w:rtl w:val="1"/>
              </w:rPr>
              <w:t>غير مكتمل في 31 أكتوبر</w:t>
            </w:r>
          </w:p>
        </w:tc>
      </w:tr>
    </w:tbl>
    <w:p>
      <w:pPr>
        <w:pStyle w:val="HeadingRTL"/>
        <w:spacing w:before="0" w:after="120" w:line="300" w:lineRule="auto"/>
        <w:jc w:val="right"/>
        <w:bidi w:val="1"/>
      </w:pPr>
      <w:r>
        <w:rPr>
          <w:rFonts w:ascii="Arial" w:hAnsi="Arial" w:cs="Arial" w:eastAsia="Arial"/>
          <w:b/>
          <w:color w:val="2E74B5"/>
          <w:sz w:val="26"/>
          <w:rtl w:val="1"/>
        </w:rPr>
        <w:t>ملاحظات تفسيرية</w:t>
      </w:r>
    </w:p>
    <w:p>
      <w:pPr>
        <w:spacing w:before="0" w:after="120" w:line="300" w:lineRule="auto"/>
        <w:ind w:left="269" w:hanging="269"/>
        <w:jc w:val="right"/>
        <w:bidi w:val="1"/>
      </w:pPr>
      <w:r>
        <w:rPr>
          <w:rFonts w:ascii="Arial" w:hAnsi="Arial" w:cs="Arial" w:eastAsia="Arial"/>
          <w:b w:val="0"/>
          <w:rtl w:val="1"/>
        </w:rPr>
        <w:t>• الميزانية الإجمالية المعتمدة تظل 24,000 دولار؛ التعديل يغير التوزيع بين قناتين فقط.</w:t>
      </w:r>
    </w:p>
    <w:p>
      <w:pPr>
        <w:spacing w:before="0" w:after="120" w:line="300" w:lineRule="auto"/>
        <w:ind w:left="269" w:hanging="269"/>
        <w:jc w:val="right"/>
        <w:bidi w:val="1"/>
      </w:pPr>
      <w:r>
        <w:rPr>
          <w:rFonts w:ascii="Arial" w:hAnsi="Arial" w:cs="Arial" w:eastAsia="Arial"/>
          <w:b w:val="0"/>
          <w:rtl w:val="1"/>
        </w:rPr>
        <w:t>• التسجيلات المعلقة لا تُحسب تلقائيًا ضمن النتيجة النهائية؛ يلزم التحقق أولًا.</w:t>
      </w:r>
    </w:p>
    <w:p>
      <w:pPr>
        <w:spacing w:before="0" w:after="120" w:line="300" w:lineRule="auto"/>
        <w:ind w:left="269" w:hanging="269"/>
        <w:jc w:val="right"/>
        <w:bidi w:val="1"/>
      </w:pPr>
      <w:r>
        <w:rPr>
          <w:rFonts w:ascii="Arial" w:hAnsi="Arial" w:cs="Arial" w:eastAsia="Arial"/>
          <w:b w:val="0"/>
          <w:rtl w:val="1"/>
        </w:rPr>
        <w:t>• لا يثبت هذا الملف وحده الأداء الفعلي؛ يُرجع إلى ملف Excel للحصول على الإنفاق والتسجيلات والحسابات.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bidi w:val="1"/>
    </w:pPr>
    <w:r>
      <w:rPr>
        <w:rFonts w:ascii="Arial" w:hAnsi="Arial" w:cs="Arial" w:eastAsia="Arial"/>
        <w:color w:val="5F6C7B"/>
        <w:sz w:val="16"/>
        <w:rtl w:val="1"/>
      </w:rPr>
      <w:t>بيانات صناعية للاختبار فقط — لا تمثل شركة أو حملة حقيقية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RTL">
    <w:name w:val="TitleRTL"/>
    <w:pPr>
      <w:spacing w:before="360" w:after="200"/>
    </w:pPr>
    <w:rPr>
      <w:rFonts w:ascii="Arial" w:hAnsi="Arial"/>
      <w:b/>
      <w:color w:val="2E74B5"/>
      <w:sz w:val="32"/>
    </w:rPr>
  </w:style>
  <w:style w:type="paragraph" w:customStyle="1" w:styleId="HeadingRTL">
    <w:name w:val="HeadingRTL"/>
    <w:pPr>
      <w:spacing w:before="280" w:after="140"/>
    </w:pPr>
    <w:rPr>
      <w:rFonts w:ascii="Arial" w:hAnsi="Arial"/>
      <w:b/>
      <w:color w:val="2E74B5"/>
      <w:sz w:val="26"/>
    </w:rPr>
  </w:style>
  <w:style w:type="paragraph" w:customStyle="1" w:styleId="SubheadingRTL">
    <w:name w:val="SubheadingRTL"/>
    <w:pPr>
      <w:spacing w:before="200" w:after="100"/>
    </w:pPr>
    <w:rPr>
      <w:rFonts w:ascii="Arial" w:hAnsi="Arial"/>
      <w:b/>
      <w:color w:val="1F4D78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محضر اجتماع مشروع نبراس للتعلّم الرقمي</dc:title>
  <dc:subject>بيانات صناعية لاختبار تحليل ملفات ChatGPT</dc:subject>
  <dc:creator>فريق تحرير GPT Gate</dc:creator>
  <cp:keywords/>
  <dc:description>بيانات صناعية للاختبار فقط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